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color w:val="333333"/>
          <w:spacing w:val="-1"/>
          <w:sz w:val="24"/>
          <w:szCs w:val="24"/>
          <w:lang w:val="en-US" w:eastAsia="zh-CN"/>
        </w:rPr>
      </w:pPr>
      <w:r>
        <w:rPr>
          <w:rFonts w:hint="eastAsia" w:ascii="微软雅黑" w:hAnsi="微软雅黑" w:eastAsia="微软雅黑" w:cs="微软雅黑"/>
          <w:color w:val="333333"/>
          <w:spacing w:val="-1"/>
          <w:sz w:val="24"/>
          <w:szCs w:val="24"/>
        </w:rPr>
        <w:t>民事诉讼</w:t>
      </w:r>
      <w:r>
        <w:rPr>
          <w:rFonts w:hint="eastAsia" w:ascii="微软雅黑" w:hAnsi="微软雅黑" w:eastAsia="微软雅黑" w:cs="微软雅黑"/>
          <w:color w:val="333333"/>
          <w:spacing w:val="-1"/>
          <w:sz w:val="24"/>
          <w:szCs w:val="24"/>
          <w:lang w:val="en-US" w:eastAsia="zh-CN"/>
        </w:rPr>
        <w:t>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一、起诉的条件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（一）原告是与本案有直接利害关系的公民、法人和其他组织；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（二）有明确的被告；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（三）有具体的诉讼请求和事实、理由；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（四）属于人民法院受理民事诉讼的范围和受诉人民法院管辖。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二、起诉状应记明的事项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（一）原告的姓名、性别、年龄、民族、职业、工作单位、住所、联系方式，法人或者其他组织的名称、住所和法定代表人或者主要负责人的姓名、职务、联系方式；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（二）被告的姓名、性别、工作单位、住所等信息，法人或者其他组织的名称、住所等信息；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（三）诉讼请求和所根据的事实与理由；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（四）证据和证据来源，证人姓名和住所。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三、民事起诉状的格式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民事起诉状（范本）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原告：姓名、性别、出生年月日、民族、住址、电话、邮编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被告：姓名、性别、出生年月日、民族、住址、电话、邮编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案由：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诉讼请求：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1_________________________________________________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2________________________________________________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事实与理由：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证据和证据来源，证人姓名和住址：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________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起诉人：__________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____ 年____ 月____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附：1、本诉状副本____ 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    2、证据目录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四、民事起诉应递交的材料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本人（单位）签名或者盖章的民事起诉状。递交份数：法院一份， 同时对方当事人有几个就再交几份（下同）；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本人的身份证明（如身份证、军官证、护照等）原件及复印件。如果您是个体工商户或者代表单位起诉的，还应携带好营业执照和复印件以及法定代表人或主要负责人的身份证明；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必要的证据材料。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特别提示：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身份证遗失的，可到当地派出所开具身份证明。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五、收到法院的传票后需注意的事项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请仔细查看传票上载明的以下几项内容：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（一）事由：主要有两种，开庭审理或开庭宣判。开庭审理说明案件要正式进行审理，或者还要继续审理；开庭宣判说明案件就要有处理结果了。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（二）法官和书记员：传票上会有承办法官与书记员的姓名和联系方式， 有事您可以主动和他们联系。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（三）时间：要根据开庭时间提前安排好工作和生活，确保准时到庭参加庭审，有特殊情况要及时和法官或者书记员联系。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（四）地址：传票上会有法庭的具体位置和法庭编号。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left"/>
        <w:rPr>
          <w:rFonts w:hint="eastAsia" w:ascii="仿宋" w:hAnsi="仿宋" w:eastAsia="仿宋" w:cs="仿宋"/>
          <w:color w:val="4C3339"/>
          <w:sz w:val="21"/>
          <w:szCs w:val="21"/>
        </w:rPr>
      </w:pPr>
      <w:r>
        <w:rPr>
          <w:rFonts w:hint="eastAsia" w:ascii="仿宋" w:hAnsi="仿宋" w:eastAsia="仿宋" w:cs="仿宋"/>
          <w:color w:val="4C3339"/>
          <w:sz w:val="21"/>
          <w:szCs w:val="21"/>
        </w:rPr>
        <w:t>请务必按传票上的时间，到庭参加案件的审理。原告没有正当理由，不到庭，法院可以按撤诉处理。被告没有正当理由，不到庭，法院可以缺席判决。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jU0ZWVjNzcwODZjNGViZDIwZGQxOGRkZjcwMGIifQ=="/>
  </w:docVars>
  <w:rsids>
    <w:rsidRoot w:val="00000000"/>
    <w:rsid w:val="0B89245F"/>
    <w:rsid w:val="7B985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2659</Words>
  <Characters>3363</Characters>
  <Lines>0</Lines>
  <Paragraphs>0</Paragraphs>
  <TotalTime>0</TotalTime>
  <ScaleCrop>false</ScaleCrop>
  <LinksUpToDate>false</LinksUpToDate>
  <CharactersWithSpaces>3564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2022-11-07T02:45:00Z</dcterms:created>
  <dc:creator>DW</dc:creator>
  <cp:lastModifiedBy>DW</cp:lastModifiedBy>
  <dcterms:modified xsi:type="dcterms:W3CDTF">2022-11-07T06:27:16Z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8ED01C0DDDC844B69360FDDA82E5B48C</vt:lpwstr>
  </property>
</Properties>
</file>