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600" w:lineRule="atLeast"/>
        <w:ind w:left="0" w:right="0"/>
        <w:jc w:val="center"/>
        <w:rPr>
          <w:color w:val="333333"/>
          <w:spacing w:val="-1"/>
          <w:sz w:val="44"/>
          <w:szCs w:val="44"/>
        </w:rPr>
      </w:pPr>
      <w:r>
        <w:rPr>
          <w:color w:val="333333"/>
          <w:spacing w:val="-1"/>
          <w:sz w:val="44"/>
          <w:szCs w:val="44"/>
        </w:rPr>
        <w:t>司法辅助工作分析报告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延边铁路运输法院司法辅助工作在长铁中院和省高院的正确指导下，在社会各界的有力监督下，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有序开展各项工作，</w:t>
      </w:r>
      <w:r>
        <w:rPr>
          <w:rFonts w:ascii="仿宋_GB2312" w:eastAsia="仿宋_GB2312" w:cs="仿宋_GB2312"/>
          <w:color w:val="000000"/>
          <w:sz w:val="32"/>
          <w:szCs w:val="32"/>
        </w:rPr>
        <w:t>较好地为审判、执行工作提供了必要的技术支持和保障，下面就司法辅助工作的开展情况汇报如下：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一、基本情况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截止20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日，我院共收案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为鉴定类。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二、工作情况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（一）工作做法及成效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一是强化工作人员职责，确保服务审判执行工作质效。实行审鉴、执鉴分离制度，由立案庭统一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对执行案件进行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对外委托和组织鉴定，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执行局负责诉讼案件的委托鉴定，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从源头上保证鉴定的公正性。进一步明确司法技术辅助工作人员岗位责任职能，明确人员分工，完善工作制度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确保鉴定案件质量。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二是公开司法鉴定程序，确保选择鉴定机构程序公开透明。大力推行阳光鉴定，接受鉴定委托申请后，我们严格按照《吉林省高级人民法院对外委托鉴定、评估暂行规定》的规定进行操作，确保选择鉴定机构程序公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通过以上工作，为审判、执行工作提供了有力技术支持和有效保障，维护了司法权威，提升了司法公信力，维护了当事人的合法权益，提高了当事人对司法的满意度。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（二）存在问题和不足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由于我院涉及的委托鉴定案件相对较少导致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干警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委托鉴定方面的经验不足，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业务能力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进一步提升。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（三）下步工作打算和建议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以后我们要着重做好以下工作: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一要进一步规范司法鉴定工作，努力提高对外委托鉴定质量。要认真落实省院关于对外委托工作的相关规定，严格规范司法鉴定的启动程序，提高司法鉴定质量。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二要加强司法辅助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人员的专业化、知识化建设。要不断提高司法辅助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</w:rPr>
        <w:t>人员的自身素质和业务水平，积极参加业务培训，努力满足司法辅助业务对人员素质、能力的需要。通过加强司辅案件流程管理、明确工作职责、强化与业务部门的协调沟通、加强对受委托机构的监督，使对外委托案件办理的效率不断提升，全面发挥好司法辅助工作的职能作用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F2B1F"/>
    <w:rsid w:val="17716F8A"/>
    <w:rsid w:val="1C007CE9"/>
    <w:rsid w:val="443B3819"/>
    <w:rsid w:val="5DC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on"/>
    <w:basedOn w:val="5"/>
    <w:qFormat/>
    <w:uiPriority w:val="0"/>
    <w:rPr>
      <w:shd w:val="clear" w:fill="318BD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2020-10-28T00:53:00Z</dcterms:created>
  <dc:creator>Admin</dc:creator>
  <cp:lastModifiedBy>lenovo</cp:lastModifiedBy>
  <dcterms:modified xsi:type="dcterms:W3CDTF">2021-10-29T01:03:02Z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10E799EB59C34B15A7C6A873FA28BB7D</vt:lpwstr>
  </property>
</Properties>
</file>