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ascii="仿宋_GB2312" w:eastAsia="仿宋_GB2312" w:cs="仿宋_GB2312"/>
          <w:b/>
          <w:bCs/>
          <w:sz w:val="44"/>
          <w:szCs w:val="44"/>
        </w:rPr>
        <w:t xml:space="preserve"> </w:t>
      </w:r>
      <w:r>
        <w:rPr>
          <w:rFonts w:hint="eastAsia" w:ascii="仿宋_GB2312" w:eastAsia="仿宋_GB2312" w:cs="仿宋_GB2312"/>
          <w:b/>
          <w:bCs/>
          <w:sz w:val="44"/>
          <w:szCs w:val="44"/>
        </w:rPr>
        <w:t>延边铁路运输法院</w:t>
      </w:r>
    </w:p>
    <w:p>
      <w:pPr>
        <w:jc w:val="center"/>
        <w:rPr>
          <w:rFonts w:hint="default" w:ascii="仿宋_GB2312" w:eastAsia="仿宋_GB2312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44"/>
          <w:szCs w:val="44"/>
        </w:rPr>
        <w:t>诉讼服务中心</w:t>
      </w:r>
      <w:r>
        <w:rPr>
          <w:rFonts w:hint="eastAsia" w:ascii="仿宋_GB2312" w:eastAsia="仿宋_GB2312" w:cs="仿宋_GB2312"/>
          <w:b/>
          <w:bCs/>
          <w:sz w:val="44"/>
          <w:szCs w:val="44"/>
          <w:lang w:val="en-US" w:eastAsia="zh-CN"/>
        </w:rPr>
        <w:t>及智能办案辅助中心概况</w:t>
      </w:r>
    </w:p>
    <w:p>
      <w:pPr>
        <w:ind w:firstLine="883" w:firstLineChars="200"/>
        <w:rPr>
          <w:rFonts w:ascii="仿宋_GB2312" w:eastAsia="仿宋_GB2312" w:cs="仿宋_GB2312"/>
          <w:b/>
          <w:bCs/>
          <w:sz w:val="44"/>
          <w:szCs w:val="44"/>
        </w:rPr>
      </w:pPr>
    </w:p>
    <w:p>
      <w:pPr>
        <w:ind w:firstLine="630" w:firstLineChars="196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一、诉讼服务中心功能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法院诉讼服务中心是方便群众诉讼、接受群众监督的重要窗口，推进诉讼服务中心建设是新形势下践行司法为民、促进司法公开、提升司法公信的必然要求，有利于方便群众诉讼，提升诉讼效率，降低诉讼成本，增进群众对司法工作的理解、认同和支持，密切与人民群众血肉联系；有利于实现案件繁简分流，缓解案多人少矛盾。</w:t>
      </w:r>
      <w:r>
        <w:rPr>
          <w:rFonts w:hint="eastAsia" w:ascii="仿宋_GB2312" w:eastAsia="仿宋_GB2312" w:cs="仿宋_GB2312"/>
          <w:sz w:val="32"/>
          <w:szCs w:val="32"/>
        </w:rPr>
        <w:t>诉讼服务中心是人民法院搭建的统一的对外服务平台，面向社会提供多渠道、一站式、综合性诉讼服务，方便群众集中办理除庭审之外的其他诉讼事务。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（一）诉讼服务中心应当与立案、审判、执行、信访、司法档案、纪检监察等工作部门加强配合，按照便民、高效、务实的工作要求，强化工作协同，完善日常管理，确保各项工作有序开展。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诉讼服务中心设立相应的工作岗位和窗口及专门工作室，分别承担诉讼引导、法律咨询、诉讼指导、风险告知、案件受理、诉前保全、司法救助、法律援助、案件查询、材料收转、约见法官、信访接待、法律释明、纪检投诉、档案调阅、资料查询、</w:t>
      </w:r>
      <w:r>
        <w:rPr>
          <w:rFonts w:hint="eastAsia" w:ascii="仿宋_GB2312" w:hAnsi="宋体" w:eastAsia="仿宋_GB2312" w:cs="仿宋_GB2312"/>
          <w:sz w:val="32"/>
          <w:szCs w:val="32"/>
        </w:rPr>
        <w:t>收退</w:t>
      </w:r>
      <w:r>
        <w:rPr>
          <w:rFonts w:hint="eastAsia" w:ascii="仿宋_GB2312" w:hAnsi="仿宋_GB2312" w:eastAsia="仿宋_GB2312" w:cs="仿宋_GB2312"/>
          <w:sz w:val="32"/>
          <w:szCs w:val="32"/>
        </w:rPr>
        <w:t>诉讼费、网上服务等工作，为人民群众提供</w:t>
      </w:r>
      <w:r>
        <w:rPr>
          <w:rFonts w:hint="eastAsia" w:ascii="仿宋_GB2312" w:eastAsia="仿宋_GB2312" w:cs="仿宋_GB2312"/>
          <w:sz w:val="32"/>
          <w:szCs w:val="32"/>
        </w:rPr>
        <w:t>一站式诉讼服务，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57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二、诉讼服务中心岗位职责</w:t>
      </w:r>
    </w:p>
    <w:p>
      <w:pPr>
        <w:ind w:left="57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（一）诉讼引导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设置导诉台，由导诉员针对当事人来院的事由，引导其前往相应的窗口或工作室办理，并指导当事人书写起诉状或申请书等诉讼文书。</w:t>
      </w:r>
      <w:r>
        <w:rPr>
          <w:rFonts w:hint="eastAsia" w:ascii="仿宋" w:hAnsi="仿宋" w:eastAsia="仿宋" w:cs="仿宋"/>
          <w:sz w:val="32"/>
          <w:szCs w:val="32"/>
        </w:rPr>
        <w:t>对适宜调解的案件，由立案员进行诉前分流，征求当事人意见，引导当事人先到 “任蛟工作室”进行诉前调解，立“诉前调”字，并录入审判管理系统。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30" w:firstLineChars="196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（二）诉讼指导与风险告知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设置立案窗口，由立案员根据来访人所涉诉讼事由，进行有关纠纷解决方式和诉讼程序指导，并进行必要的风险告知和法律释明。</w:t>
      </w:r>
      <w:r>
        <w:rPr>
          <w:rFonts w:hint="eastAsia" w:ascii="仿宋" w:hAnsi="仿宋" w:eastAsia="仿宋" w:cs="仿宋"/>
          <w:sz w:val="32"/>
          <w:szCs w:val="32"/>
        </w:rPr>
        <w:t>对适宜调解的民事案件进行诉前调解，诉前调解采取当事人自愿原则，充分尊重当事人的调解意愿，坚持能调则调，调解不成及时进入立案诉讼程序。</w:t>
      </w:r>
    </w:p>
    <w:p>
      <w:pPr>
        <w:ind w:firstLine="640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材料收转与约见法官</w:t>
      </w:r>
    </w:p>
    <w:p>
      <w:pPr>
        <w:pStyle w:val="8"/>
        <w:ind w:left="160" w:leftChars="76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诉讼服务中心设涉诉材料收转箱，由导诉员向送件人提供专用材料袋，指导其将提交的涉诉材料（复印件）装入材料袋自行密封，并在材料袋封面注明收件人姓名及所在庭室名称、送件时间及送件人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将材料袋投入该庭室收转箱。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当事人及其诉讼代理人（辩护人）在案件审理过程中，未经通知、传唤来诉讼服务中心要求约见法官的，由导诉员视情况，通过通知法官、告知联系电话、填写预约单等方式，为当事人提供服务。</w:t>
      </w:r>
    </w:p>
    <w:p>
      <w:pPr>
        <w:ind w:firstLine="630" w:firstLineChars="196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（四）立案受理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ind w:firstLine="627" w:firstLineChars="196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诉讼服务中心设置立案受理窗口，负责刑事、民事、行政、执行等各类案件的立案受理，以及诉前保全申请的受理工作。</w:t>
      </w:r>
    </w:p>
    <w:p>
      <w:pPr>
        <w:ind w:firstLine="627" w:firstLineChars="196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案件受理窗口的立案员收到起诉、申请材料后应当依法认真进行审查和立案登记。认真做好诉讼费核算工作，开具交费凭证。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30" w:firstLineChars="196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（五）案件查询</w:t>
      </w:r>
    </w:p>
    <w:p>
      <w:pPr>
        <w:ind w:firstLine="627" w:firstLineChars="196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诉讼服务中心由导诉员负责为当事人进行案件查询，为当事人、代理人、辩护人提供案件流程信息查询服务。当事人也可以通过吉林电子法院系统和“吉林移动微法院”平台进行查询。</w:t>
      </w:r>
    </w:p>
    <w:p>
      <w:pPr>
        <w:ind w:firstLine="630" w:firstLineChars="196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（六）信访接待室</w:t>
      </w:r>
    </w:p>
    <w:p>
      <w:pPr>
        <w:ind w:firstLine="627" w:firstLineChars="196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诉讼服务中心设信访接待室，负责信访当事人的日常接，设立院长接待日，定期接待上访人。</w:t>
      </w:r>
    </w:p>
    <w:p>
      <w:pPr>
        <w:ind w:firstLine="472" w:firstLineChars="147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（七）诉前调解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诉讼服务中心设置调解工作室，</w:t>
      </w:r>
      <w:r>
        <w:rPr>
          <w:rFonts w:hint="eastAsia" w:ascii="仿宋" w:hAnsi="仿宋" w:eastAsia="仿宋" w:cs="仿宋"/>
          <w:sz w:val="32"/>
          <w:szCs w:val="32"/>
        </w:rPr>
        <w:t>由退休老法官、律师、专家教授以及热心调解事业、了解社情民意的人民调解员、行业调解员等人员组成，配备必要的办公设备和便民服务设施。当事人到法院申请立案，对适宜调解的案件，由立案员进行诉前分流。</w:t>
      </w:r>
      <w:r>
        <w:rPr>
          <w:rFonts w:hint="eastAsia" w:ascii="仿宋_GB2312" w:eastAsia="仿宋_GB2312" w:cs="仿宋_GB2312"/>
          <w:sz w:val="32"/>
          <w:szCs w:val="32"/>
        </w:rPr>
        <w:t>经诉前调解达成协议的，根据当事人申请，对调解协议的效力予以确认或出具调解书。</w:t>
      </w:r>
    </w:p>
    <w:p>
      <w:pPr>
        <w:ind w:firstLine="643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（八）律师工作室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诉讼服务中心设置律师工作室，配置电脑和打印设备、为律师参与诉讼提供方便。由公益律师自愿为群众无偿提供法律咨询等法律援助事务，参与法律释明和息诉服判、代理申诉工作。</w:t>
      </w:r>
    </w:p>
    <w:p>
      <w:pPr>
        <w:ind w:firstLine="630" w:firstLineChars="196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（九）电子法院</w:t>
      </w:r>
    </w:p>
    <w:p>
      <w:pPr>
        <w:ind w:firstLine="627" w:firstLineChars="196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诉讼服务中心开通吉林电子法院网上服务，当事人和律师可以随时网上立案，导诉员指导当事人利用电子法院进行网上立案、网上查询。</w:t>
      </w:r>
    </w:p>
    <w:p>
      <w:pPr>
        <w:ind w:firstLine="630" w:firstLineChars="196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（十）便民服务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诉讼服务中心通过电子触摸公告屏、延边日报电子屏等信息载体，公布案件立案流程、诉讼收费标准、诉讼权利义务、案件基本信息查询等，为当事人提供便捷诉讼服务。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诉讼服务中心为当事人提供</w:t>
      </w:r>
      <w:r>
        <w:rPr>
          <w:rFonts w:hint="eastAsia" w:ascii="仿宋_GB2312" w:hAnsi="宋体" w:eastAsia="仿宋_GB2312" w:cs="仿宋_GB2312"/>
          <w:sz w:val="32"/>
          <w:szCs w:val="32"/>
        </w:rPr>
        <w:t>休息椅、饮水器、老花镜、报刊杂志、笔墨纸张</w:t>
      </w:r>
      <w:r>
        <w:rPr>
          <w:rFonts w:hint="eastAsia" w:ascii="仿宋_GB2312" w:eastAsia="仿宋_GB2312" w:cs="仿宋_GB2312"/>
          <w:sz w:val="32"/>
          <w:szCs w:val="32"/>
        </w:rPr>
        <w:t>等便民物品，发放</w:t>
      </w:r>
      <w:r>
        <w:rPr>
          <w:rFonts w:hint="eastAsia" w:ascii="仿宋_GB2312" w:hAnsi="宋体" w:eastAsia="仿宋_GB2312" w:cs="仿宋_GB2312"/>
          <w:sz w:val="32"/>
          <w:szCs w:val="32"/>
        </w:rPr>
        <w:t>扫黑除恶宣传手册、诉讼权利义务须知、诉讼风险告知书等材料，</w:t>
      </w:r>
      <w:r>
        <w:rPr>
          <w:rFonts w:hint="eastAsia" w:ascii="仿宋_GB2312" w:eastAsia="仿宋_GB2312" w:cs="仿宋_GB2312"/>
          <w:sz w:val="32"/>
          <w:szCs w:val="32"/>
        </w:rPr>
        <w:t>并提供打印、复印等便民服务。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诉讼服务中心提供邮政快递服务，当事人可以在诉讼服务中心发送邮件。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行为规范</w:t>
      </w:r>
    </w:p>
    <w:p>
      <w:pPr>
        <w:pStyle w:val="5"/>
        <w:overflowPunct w:val="0"/>
        <w:spacing w:before="0" w:beforeAutospacing="0" w:after="0" w:afterAutospacing="0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诉讼服务中心是人民法院服务人民群众的重要平台，要</w:t>
      </w:r>
      <w:r>
        <w:rPr>
          <w:rFonts w:hint="eastAsia" w:ascii="仿宋_GB2312" w:hAnsi="仿宋" w:eastAsia="仿宋_GB2312" w:cs="仿宋"/>
          <w:sz w:val="32"/>
          <w:szCs w:val="32"/>
        </w:rPr>
        <w:t>规范诉讼服务中心工作行为</w:t>
      </w:r>
      <w:r>
        <w:rPr>
          <w:rFonts w:hint="eastAsia" w:ascii="仿宋_GB2312" w:eastAsia="仿宋_GB2312" w:cs="仿宋_GB2312"/>
          <w:sz w:val="32"/>
          <w:szCs w:val="32"/>
        </w:rPr>
        <w:t>。中心工作人员着装应当规范，做到仪表端庄、举止得体、用语文明、耐心细致，不得简单粗暴、敷衍塞责。</w:t>
      </w:r>
      <w:r>
        <w:rPr>
          <w:rFonts w:hint="eastAsia" w:ascii="仿宋_GB2312" w:hAnsi="仿宋" w:eastAsia="仿宋_GB2312" w:cs="仿宋"/>
          <w:sz w:val="32"/>
          <w:szCs w:val="32"/>
        </w:rPr>
        <w:t>树立人民法院公正高效、亲民便民的良好司法形象，不断提升司法公信力和为民服务能力。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（一）中心工作人员应当认真履行职责，为人民群众提供及时、周到的服务。工作时间应当坚守岗位，不得擅自离位脱岗。</w:t>
      </w:r>
    </w:p>
    <w:p>
      <w:pPr>
        <w:pStyle w:val="5"/>
        <w:overflowPunct w:val="0"/>
        <w:spacing w:before="0" w:beforeAutospacing="0" w:after="0" w:afterAutospacing="0"/>
        <w:ind w:firstLine="480" w:firstLineChars="15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（二）诉讼服务中心工作人员应当着装上岗，可根据不同季节统一着法院制服，按照规定佩戴法徽；要衣着整洁、举止得体。</w:t>
      </w:r>
    </w:p>
    <w:p>
      <w:pPr>
        <w:pStyle w:val="5"/>
        <w:overflowPunct w:val="0"/>
        <w:spacing w:before="0" w:beforeAutospacing="0" w:after="0" w:afterAutospacing="0"/>
        <w:ind w:firstLine="480" w:firstLineChars="15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（三）接待时要保持良好的精神状态和平和的心态，做到精神饱满、精力集中，仪表端庄、用语文明。要态度诚恳、表情自然、语气温和。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（四）实行首问负责制。在主动做好诉讼引导的同时，做到有问必答、有诉必理、有访必接、有信必复，及时为人民群众排忧解难、释疑解惑，有效化解各类矛盾。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3EBF"/>
    <w:multiLevelType w:val="multilevel"/>
    <w:tmpl w:val="57663EBF"/>
    <w:lvl w:ilvl="0" w:tentative="0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DBB"/>
    <w:rsid w:val="000060D4"/>
    <w:rsid w:val="00027593"/>
    <w:rsid w:val="00047190"/>
    <w:rsid w:val="000A21F7"/>
    <w:rsid w:val="000B32E0"/>
    <w:rsid w:val="000D3DA0"/>
    <w:rsid w:val="000F162D"/>
    <w:rsid w:val="00105566"/>
    <w:rsid w:val="0013621C"/>
    <w:rsid w:val="0013693D"/>
    <w:rsid w:val="00140063"/>
    <w:rsid w:val="00142E49"/>
    <w:rsid w:val="0014340F"/>
    <w:rsid w:val="00151A69"/>
    <w:rsid w:val="00175457"/>
    <w:rsid w:val="00177428"/>
    <w:rsid w:val="0019689D"/>
    <w:rsid w:val="001B36CF"/>
    <w:rsid w:val="001B5EE0"/>
    <w:rsid w:val="001F4155"/>
    <w:rsid w:val="001F4AD1"/>
    <w:rsid w:val="001F594A"/>
    <w:rsid w:val="00200DFC"/>
    <w:rsid w:val="002A00AD"/>
    <w:rsid w:val="002A1975"/>
    <w:rsid w:val="002C19AC"/>
    <w:rsid w:val="002C4328"/>
    <w:rsid w:val="00303176"/>
    <w:rsid w:val="00314B33"/>
    <w:rsid w:val="00341C6C"/>
    <w:rsid w:val="0037325E"/>
    <w:rsid w:val="003C07BD"/>
    <w:rsid w:val="003C6E44"/>
    <w:rsid w:val="00413B40"/>
    <w:rsid w:val="004439F4"/>
    <w:rsid w:val="00453EE3"/>
    <w:rsid w:val="00476E03"/>
    <w:rsid w:val="004B1369"/>
    <w:rsid w:val="004B5C85"/>
    <w:rsid w:val="004C70E4"/>
    <w:rsid w:val="004E19FC"/>
    <w:rsid w:val="004E3FE3"/>
    <w:rsid w:val="005149A0"/>
    <w:rsid w:val="00527E12"/>
    <w:rsid w:val="005612D2"/>
    <w:rsid w:val="00563B5E"/>
    <w:rsid w:val="00580E04"/>
    <w:rsid w:val="00596853"/>
    <w:rsid w:val="005A6305"/>
    <w:rsid w:val="005D747A"/>
    <w:rsid w:val="005F79D4"/>
    <w:rsid w:val="00614F77"/>
    <w:rsid w:val="00650565"/>
    <w:rsid w:val="00654BB5"/>
    <w:rsid w:val="00664BB9"/>
    <w:rsid w:val="00676720"/>
    <w:rsid w:val="0068697E"/>
    <w:rsid w:val="00691D4A"/>
    <w:rsid w:val="006E0203"/>
    <w:rsid w:val="006F10CB"/>
    <w:rsid w:val="006F6448"/>
    <w:rsid w:val="0070640E"/>
    <w:rsid w:val="00721593"/>
    <w:rsid w:val="00730DD3"/>
    <w:rsid w:val="00747D7E"/>
    <w:rsid w:val="0075087F"/>
    <w:rsid w:val="00751F20"/>
    <w:rsid w:val="0075747A"/>
    <w:rsid w:val="00757A32"/>
    <w:rsid w:val="00773E07"/>
    <w:rsid w:val="007D25FC"/>
    <w:rsid w:val="007E65B1"/>
    <w:rsid w:val="007E7714"/>
    <w:rsid w:val="007F6CCD"/>
    <w:rsid w:val="0080535D"/>
    <w:rsid w:val="0080707B"/>
    <w:rsid w:val="008328AC"/>
    <w:rsid w:val="008473C7"/>
    <w:rsid w:val="00847C78"/>
    <w:rsid w:val="008750A7"/>
    <w:rsid w:val="00893EB7"/>
    <w:rsid w:val="008A3AD2"/>
    <w:rsid w:val="008B1577"/>
    <w:rsid w:val="008E28DB"/>
    <w:rsid w:val="008F1908"/>
    <w:rsid w:val="00913F6D"/>
    <w:rsid w:val="00921BF2"/>
    <w:rsid w:val="00934B6A"/>
    <w:rsid w:val="009370FE"/>
    <w:rsid w:val="0093724E"/>
    <w:rsid w:val="00953FEC"/>
    <w:rsid w:val="00966DBB"/>
    <w:rsid w:val="009747FE"/>
    <w:rsid w:val="009A3883"/>
    <w:rsid w:val="00A078DA"/>
    <w:rsid w:val="00A355FD"/>
    <w:rsid w:val="00A52AE3"/>
    <w:rsid w:val="00A538F5"/>
    <w:rsid w:val="00A565AE"/>
    <w:rsid w:val="00A62A48"/>
    <w:rsid w:val="00A91B0D"/>
    <w:rsid w:val="00A95E1D"/>
    <w:rsid w:val="00AA422B"/>
    <w:rsid w:val="00AF6760"/>
    <w:rsid w:val="00B03D20"/>
    <w:rsid w:val="00B31F0B"/>
    <w:rsid w:val="00B41509"/>
    <w:rsid w:val="00B458E9"/>
    <w:rsid w:val="00B53B85"/>
    <w:rsid w:val="00B5439E"/>
    <w:rsid w:val="00B667FA"/>
    <w:rsid w:val="00B93B18"/>
    <w:rsid w:val="00BA6858"/>
    <w:rsid w:val="00BB1AB2"/>
    <w:rsid w:val="00BF4434"/>
    <w:rsid w:val="00C102A6"/>
    <w:rsid w:val="00C31205"/>
    <w:rsid w:val="00C34DCC"/>
    <w:rsid w:val="00C41B20"/>
    <w:rsid w:val="00C55C25"/>
    <w:rsid w:val="00C61945"/>
    <w:rsid w:val="00C636EF"/>
    <w:rsid w:val="00C64B76"/>
    <w:rsid w:val="00C7043F"/>
    <w:rsid w:val="00C773FB"/>
    <w:rsid w:val="00C93AF5"/>
    <w:rsid w:val="00CA3185"/>
    <w:rsid w:val="00D062B1"/>
    <w:rsid w:val="00D5137E"/>
    <w:rsid w:val="00D95002"/>
    <w:rsid w:val="00DD37AC"/>
    <w:rsid w:val="00DD4894"/>
    <w:rsid w:val="00DF5C0B"/>
    <w:rsid w:val="00E12606"/>
    <w:rsid w:val="00E32671"/>
    <w:rsid w:val="00E33D9A"/>
    <w:rsid w:val="00E4744A"/>
    <w:rsid w:val="00E61146"/>
    <w:rsid w:val="00E92E31"/>
    <w:rsid w:val="00EA4E8C"/>
    <w:rsid w:val="00F15607"/>
    <w:rsid w:val="00F22285"/>
    <w:rsid w:val="00F2584E"/>
    <w:rsid w:val="00F56B15"/>
    <w:rsid w:val="00F86D06"/>
    <w:rsid w:val="00FA5AC7"/>
    <w:rsid w:val="00FA76F6"/>
    <w:rsid w:val="00FB15E0"/>
    <w:rsid w:val="00FD0865"/>
    <w:rsid w:val="00FD5526"/>
    <w:rsid w:val="72E6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延边朝鲜族自治州中级人民法院</Company>
  <Pages>6</Pages>
  <Words>1156</Words>
  <Characters>1156</Characters>
  <Lines>50</Lines>
  <Paragraphs>14</Paragraphs>
  <TotalTime>72</TotalTime>
  <ScaleCrop>false</ScaleCrop>
  <LinksUpToDate>false</LinksUpToDate>
  <CharactersWithSpaces>2298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2019-07-18T06:59:00Z</dcterms:created>
  <dc:creator>郑春玉</dc:creator>
  <cp:lastModifiedBy>Administrator</cp:lastModifiedBy>
  <dcterms:modified xsi:type="dcterms:W3CDTF">2019-11-17T06:07:10Z</dcterms:modified>
  <dc:title>延边朝鲜族自治州中级人民法院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