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536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图们铁路运输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8上半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年不上网文书数据公示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360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生效裁判文书经审批不上网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6"/>
    <w:rsid w:val="00195106"/>
    <w:rsid w:val="00416CCE"/>
    <w:rsid w:val="00424544"/>
    <w:rsid w:val="00874FA6"/>
    <w:rsid w:val="009916A0"/>
    <w:rsid w:val="00DD00C4"/>
    <w:rsid w:val="07D73924"/>
    <w:rsid w:val="40E75ED4"/>
    <w:rsid w:val="659F12CF"/>
    <w:rsid w:val="67F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2017-03-01T05:52:00Z</dcterms:created>
  <dc:creator>ctzyx</dc:creator>
  <cp:lastModifiedBy>阿景的梨花白</cp:lastModifiedBy>
  <dcterms:modified xsi:type="dcterms:W3CDTF">2018-10-30T01:33:32Z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